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5AFD2" w14:textId="77777777" w:rsidR="00D226C1" w:rsidRPr="00D226C1" w:rsidRDefault="00D226C1" w:rsidP="00D226C1">
      <w:pPr>
        <w:spacing w:after="0" w:line="480" w:lineRule="auto"/>
        <w:jc w:val="center"/>
        <w:rPr>
          <w:rFonts w:ascii="Times New Roman" w:hAnsi="Times New Roman" w:cs="Times New Roman"/>
          <w:sz w:val="24"/>
          <w:szCs w:val="24"/>
        </w:rPr>
      </w:pPr>
    </w:p>
    <w:p w14:paraId="3426FA8F" w14:textId="77777777" w:rsidR="00D226C1" w:rsidRPr="00D226C1" w:rsidRDefault="00D226C1" w:rsidP="00D226C1">
      <w:pPr>
        <w:spacing w:after="0" w:line="480" w:lineRule="auto"/>
        <w:jc w:val="center"/>
        <w:rPr>
          <w:rFonts w:ascii="Times New Roman" w:hAnsi="Times New Roman" w:cs="Times New Roman"/>
          <w:sz w:val="24"/>
          <w:szCs w:val="24"/>
        </w:rPr>
      </w:pPr>
    </w:p>
    <w:p w14:paraId="56670FBF" w14:textId="77777777" w:rsidR="00D226C1" w:rsidRPr="00D226C1" w:rsidRDefault="00D226C1" w:rsidP="00D226C1">
      <w:pPr>
        <w:spacing w:after="0" w:line="480" w:lineRule="auto"/>
        <w:jc w:val="center"/>
        <w:rPr>
          <w:rFonts w:ascii="Times New Roman" w:hAnsi="Times New Roman" w:cs="Times New Roman"/>
          <w:sz w:val="24"/>
          <w:szCs w:val="24"/>
        </w:rPr>
      </w:pPr>
    </w:p>
    <w:p w14:paraId="4AD3FD62" w14:textId="77777777" w:rsidR="00D226C1" w:rsidRPr="00D226C1" w:rsidRDefault="00D226C1" w:rsidP="00D226C1">
      <w:pPr>
        <w:spacing w:after="0" w:line="480" w:lineRule="auto"/>
        <w:jc w:val="center"/>
        <w:rPr>
          <w:rFonts w:ascii="Times New Roman" w:hAnsi="Times New Roman" w:cs="Times New Roman"/>
          <w:sz w:val="24"/>
          <w:szCs w:val="24"/>
        </w:rPr>
      </w:pPr>
    </w:p>
    <w:p w14:paraId="41AC8120" w14:textId="77777777" w:rsidR="00D226C1" w:rsidRPr="00D226C1" w:rsidRDefault="00D226C1" w:rsidP="00D226C1">
      <w:pPr>
        <w:spacing w:after="0" w:line="480" w:lineRule="auto"/>
        <w:jc w:val="center"/>
        <w:rPr>
          <w:rFonts w:ascii="Times New Roman" w:hAnsi="Times New Roman" w:cs="Times New Roman"/>
          <w:sz w:val="24"/>
          <w:szCs w:val="24"/>
        </w:rPr>
      </w:pPr>
    </w:p>
    <w:p w14:paraId="11E29161" w14:textId="1D2811C8" w:rsidR="00D226C1" w:rsidRDefault="00D226C1" w:rsidP="00D226C1">
      <w:pPr>
        <w:spacing w:after="0" w:line="480" w:lineRule="auto"/>
        <w:jc w:val="center"/>
        <w:rPr>
          <w:rFonts w:ascii="Times New Roman" w:hAnsi="Times New Roman" w:cs="Times New Roman"/>
          <w:sz w:val="24"/>
          <w:szCs w:val="24"/>
        </w:rPr>
      </w:pPr>
    </w:p>
    <w:p w14:paraId="253EEBDE" w14:textId="77777777" w:rsidR="002D7EA0" w:rsidRPr="00D226C1" w:rsidRDefault="002D7EA0" w:rsidP="00D226C1">
      <w:pPr>
        <w:spacing w:after="0" w:line="480" w:lineRule="auto"/>
        <w:jc w:val="center"/>
        <w:rPr>
          <w:rFonts w:ascii="Times New Roman" w:hAnsi="Times New Roman" w:cs="Times New Roman"/>
          <w:sz w:val="24"/>
          <w:szCs w:val="24"/>
        </w:rPr>
      </w:pPr>
    </w:p>
    <w:p w14:paraId="3BEFE72B" w14:textId="77777777" w:rsidR="00530F1A" w:rsidRPr="00D226C1" w:rsidRDefault="00AC49C1" w:rsidP="00D226C1">
      <w:pPr>
        <w:spacing w:after="0" w:line="480" w:lineRule="auto"/>
        <w:jc w:val="center"/>
        <w:rPr>
          <w:rFonts w:ascii="Times New Roman" w:hAnsi="Times New Roman" w:cs="Times New Roman"/>
          <w:sz w:val="24"/>
          <w:szCs w:val="24"/>
        </w:rPr>
      </w:pPr>
      <w:r w:rsidRPr="00D226C1">
        <w:rPr>
          <w:rFonts w:ascii="Times New Roman" w:hAnsi="Times New Roman" w:cs="Times New Roman"/>
          <w:sz w:val="24"/>
          <w:szCs w:val="24"/>
        </w:rPr>
        <w:t>Case</w:t>
      </w:r>
      <w:bookmarkStart w:id="0" w:name="_GoBack"/>
      <w:bookmarkEnd w:id="0"/>
      <w:r w:rsidRPr="00D226C1">
        <w:rPr>
          <w:rFonts w:ascii="Times New Roman" w:hAnsi="Times New Roman" w:cs="Times New Roman"/>
          <w:sz w:val="24"/>
          <w:szCs w:val="24"/>
        </w:rPr>
        <w:t xml:space="preserve"> Analysis</w:t>
      </w:r>
    </w:p>
    <w:p w14:paraId="7D84278C" w14:textId="33DAE116" w:rsidR="00D226C1" w:rsidRPr="00D226C1" w:rsidRDefault="00AC49C1" w:rsidP="00D226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D226C1">
        <w:rPr>
          <w:rFonts w:ascii="Times New Roman" w:hAnsi="Times New Roman" w:cs="Times New Roman"/>
          <w:sz w:val="24"/>
          <w:szCs w:val="24"/>
        </w:rPr>
        <w:t>Name</w:t>
      </w:r>
    </w:p>
    <w:p w14:paraId="6F7E5B75" w14:textId="77464FDA" w:rsidR="00B72EDC" w:rsidRPr="00D226C1" w:rsidRDefault="00AC49C1" w:rsidP="005E4711">
      <w:pPr>
        <w:spacing w:after="0" w:line="480" w:lineRule="auto"/>
        <w:jc w:val="center"/>
        <w:rPr>
          <w:rFonts w:ascii="Times New Roman" w:hAnsi="Times New Roman" w:cs="Times New Roman"/>
          <w:sz w:val="24"/>
          <w:szCs w:val="24"/>
        </w:rPr>
      </w:pPr>
      <w:r w:rsidRPr="00D226C1">
        <w:rPr>
          <w:rFonts w:ascii="Times New Roman" w:hAnsi="Times New Roman" w:cs="Times New Roman"/>
          <w:sz w:val="24"/>
          <w:szCs w:val="24"/>
        </w:rPr>
        <w:t>Institutional Affiliation</w:t>
      </w:r>
      <w:r w:rsidR="00D63DFB">
        <w:rPr>
          <w:rFonts w:ascii="Times New Roman" w:hAnsi="Times New Roman" w:cs="Times New Roman"/>
          <w:sz w:val="24"/>
          <w:szCs w:val="24"/>
        </w:rPr>
        <w:t>s</w:t>
      </w:r>
    </w:p>
    <w:p w14:paraId="7AEFAA44" w14:textId="77777777" w:rsidR="005E4711" w:rsidRDefault="00AC49C1" w:rsidP="00D226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D877EAE" w14:textId="4248B90B" w:rsidR="00D226C1" w:rsidRPr="00D226C1" w:rsidRDefault="00AC49C1" w:rsidP="00D226C1">
      <w:pPr>
        <w:spacing w:after="0" w:line="480" w:lineRule="auto"/>
        <w:jc w:val="center"/>
        <w:rPr>
          <w:rFonts w:ascii="Times New Roman" w:hAnsi="Times New Roman" w:cs="Times New Roman"/>
          <w:sz w:val="24"/>
          <w:szCs w:val="24"/>
        </w:rPr>
      </w:pPr>
      <w:r w:rsidRPr="00D226C1">
        <w:rPr>
          <w:rFonts w:ascii="Times New Roman" w:hAnsi="Times New Roman" w:cs="Times New Roman"/>
          <w:sz w:val="24"/>
          <w:szCs w:val="24"/>
        </w:rPr>
        <w:lastRenderedPageBreak/>
        <w:t>Case Analysis</w:t>
      </w:r>
    </w:p>
    <w:p w14:paraId="3213B7B2" w14:textId="77777777" w:rsidR="00DA30AE" w:rsidRPr="00D226C1" w:rsidRDefault="00AC49C1" w:rsidP="00D226C1">
      <w:pPr>
        <w:spacing w:after="0" w:line="480" w:lineRule="auto"/>
        <w:jc w:val="center"/>
        <w:rPr>
          <w:rFonts w:ascii="Times New Roman" w:hAnsi="Times New Roman" w:cs="Times New Roman"/>
          <w:b/>
          <w:sz w:val="24"/>
          <w:szCs w:val="24"/>
        </w:rPr>
      </w:pPr>
      <w:r w:rsidRPr="00D226C1">
        <w:rPr>
          <w:rFonts w:ascii="Times New Roman" w:hAnsi="Times New Roman" w:cs="Times New Roman"/>
          <w:b/>
          <w:sz w:val="24"/>
          <w:szCs w:val="24"/>
        </w:rPr>
        <w:t>Question 1</w:t>
      </w:r>
    </w:p>
    <w:p w14:paraId="397B0361" w14:textId="77777777" w:rsidR="00D41FD0" w:rsidRPr="00D226C1" w:rsidRDefault="00AC49C1" w:rsidP="00D226C1">
      <w:pPr>
        <w:spacing w:after="0" w:line="480" w:lineRule="auto"/>
        <w:ind w:firstLine="720"/>
        <w:rPr>
          <w:rFonts w:ascii="Times New Roman" w:hAnsi="Times New Roman" w:cs="Times New Roman"/>
          <w:sz w:val="24"/>
          <w:szCs w:val="24"/>
        </w:rPr>
      </w:pPr>
      <w:r w:rsidRPr="00D226C1">
        <w:rPr>
          <w:rFonts w:ascii="Times New Roman" w:hAnsi="Times New Roman" w:cs="Times New Roman"/>
          <w:sz w:val="24"/>
          <w:szCs w:val="24"/>
        </w:rPr>
        <w:t xml:space="preserve">To begin with, specific performance is defined as a situation where a court orders a party in breach of a contract to accomplish the terms of an agreement because a </w:t>
      </w:r>
      <w:r w:rsidRPr="00D226C1">
        <w:rPr>
          <w:rFonts w:ascii="Times New Roman" w:hAnsi="Times New Roman" w:cs="Times New Roman"/>
          <w:sz w:val="24"/>
          <w:szCs w:val="24"/>
        </w:rPr>
        <w:t xml:space="preserve">subject matter is unique. In fact, specific performance is regarded as an important equitable remedy as well as must meet five needs. The requirements include irreparable to a plaintiff might happen in case the equitable remedy is not granted, a plaintiff </w:t>
      </w:r>
      <w:r w:rsidRPr="00D226C1">
        <w:rPr>
          <w:rFonts w:ascii="Times New Roman" w:hAnsi="Times New Roman" w:cs="Times New Roman"/>
          <w:sz w:val="24"/>
          <w:szCs w:val="24"/>
        </w:rPr>
        <w:t>has clean hands in that he or she has not been deceitful or performed anything in breach of an agreement, no adequate legal remedy is available, the covenant is legally valid, as well as the agreement terms are and ambiguous</w:t>
      </w:r>
      <w:r w:rsidR="00447A45" w:rsidRPr="00D226C1">
        <w:rPr>
          <w:rFonts w:ascii="Times New Roman" w:hAnsi="Times New Roman" w:cs="Times New Roman"/>
          <w:sz w:val="24"/>
          <w:szCs w:val="24"/>
        </w:rPr>
        <w:t xml:space="preserve"> (Ashok, 2018)</w:t>
      </w:r>
      <w:r w:rsidRPr="00D226C1">
        <w:rPr>
          <w:rFonts w:ascii="Times New Roman" w:hAnsi="Times New Roman" w:cs="Times New Roman"/>
          <w:sz w:val="24"/>
          <w:szCs w:val="24"/>
        </w:rPr>
        <w:t>. Therefore, it</w:t>
      </w:r>
      <w:r w:rsidRPr="00D226C1">
        <w:rPr>
          <w:rFonts w:ascii="Times New Roman" w:hAnsi="Times New Roman" w:cs="Times New Roman"/>
          <w:sz w:val="24"/>
          <w:szCs w:val="24"/>
        </w:rPr>
        <w:t xml:space="preserve"> is evident that buyers, as well as lessees, are given a chance to seek the remedy of specific performance when a remedy at law is inadequate as well as in case the available goods are unique.</w:t>
      </w:r>
    </w:p>
    <w:p w14:paraId="3F3D604D" w14:textId="77777777" w:rsidR="00FA43E8" w:rsidRPr="00D226C1" w:rsidRDefault="00AC49C1" w:rsidP="00D226C1">
      <w:pPr>
        <w:spacing w:after="0" w:line="480" w:lineRule="auto"/>
        <w:ind w:firstLine="720"/>
        <w:rPr>
          <w:rFonts w:ascii="Times New Roman" w:hAnsi="Times New Roman" w:cs="Times New Roman"/>
          <w:sz w:val="24"/>
          <w:szCs w:val="24"/>
        </w:rPr>
      </w:pPr>
      <w:r w:rsidRPr="00D226C1">
        <w:rPr>
          <w:rFonts w:ascii="Times New Roman" w:hAnsi="Times New Roman" w:cs="Times New Roman"/>
          <w:sz w:val="24"/>
          <w:szCs w:val="24"/>
        </w:rPr>
        <w:t>With that said, it is clear that in the provided situatio</w:t>
      </w:r>
      <w:r w:rsidRPr="00D226C1">
        <w:rPr>
          <w:rFonts w:ascii="Times New Roman" w:hAnsi="Times New Roman" w:cs="Times New Roman"/>
          <w:sz w:val="24"/>
          <w:szCs w:val="24"/>
        </w:rPr>
        <w:t xml:space="preserve">n </w:t>
      </w:r>
      <w:r w:rsidR="008B61FD" w:rsidRPr="00D226C1">
        <w:rPr>
          <w:rFonts w:ascii="Times New Roman" w:hAnsi="Times New Roman" w:cs="Times New Roman"/>
          <w:sz w:val="24"/>
          <w:szCs w:val="24"/>
        </w:rPr>
        <w:t>Alabama</w:t>
      </w:r>
      <w:r w:rsidRPr="00D226C1">
        <w:rPr>
          <w:rFonts w:ascii="Times New Roman" w:hAnsi="Times New Roman" w:cs="Times New Roman"/>
          <w:sz w:val="24"/>
          <w:szCs w:val="24"/>
        </w:rPr>
        <w:t xml:space="preserve"> Sports Marketing can seek specific performance of the contract. The reason is that Gump is a well-known </w:t>
      </w:r>
      <w:r w:rsidR="008B61FD" w:rsidRPr="00D226C1">
        <w:rPr>
          <w:rFonts w:ascii="Times New Roman" w:hAnsi="Times New Roman" w:cs="Times New Roman"/>
          <w:sz w:val="24"/>
          <w:szCs w:val="24"/>
        </w:rPr>
        <w:t>Ping-Pong</w:t>
      </w:r>
      <w:r w:rsidRPr="00D226C1">
        <w:rPr>
          <w:rFonts w:ascii="Times New Roman" w:hAnsi="Times New Roman" w:cs="Times New Roman"/>
          <w:sz w:val="24"/>
          <w:szCs w:val="24"/>
        </w:rPr>
        <w:t xml:space="preserve"> player with a considerable following. Grounded on the data offered, Gump is a famous </w:t>
      </w:r>
      <w:r w:rsidR="008B61FD" w:rsidRPr="00D226C1">
        <w:rPr>
          <w:rFonts w:ascii="Times New Roman" w:hAnsi="Times New Roman" w:cs="Times New Roman"/>
          <w:sz w:val="24"/>
          <w:szCs w:val="24"/>
        </w:rPr>
        <w:t>Ping-Pong</w:t>
      </w:r>
      <w:r w:rsidRPr="00D226C1">
        <w:rPr>
          <w:rFonts w:ascii="Times New Roman" w:hAnsi="Times New Roman" w:cs="Times New Roman"/>
          <w:sz w:val="24"/>
          <w:szCs w:val="24"/>
        </w:rPr>
        <w:t xml:space="preserve"> player, and this makes him a unique s</w:t>
      </w:r>
      <w:r w:rsidRPr="00D226C1">
        <w:rPr>
          <w:rFonts w:ascii="Times New Roman" w:hAnsi="Times New Roman" w:cs="Times New Roman"/>
          <w:sz w:val="24"/>
          <w:szCs w:val="24"/>
        </w:rPr>
        <w:t>ubject matter for the video game. Therefore, the aspect mentioned above meets the needs for specific performance</w:t>
      </w:r>
      <w:r w:rsidR="00187AA7" w:rsidRPr="00D226C1">
        <w:rPr>
          <w:rFonts w:ascii="Times New Roman" w:hAnsi="Times New Roman" w:cs="Times New Roman"/>
          <w:sz w:val="24"/>
          <w:szCs w:val="24"/>
        </w:rPr>
        <w:t xml:space="preserve"> (Ashok, 2018)</w:t>
      </w:r>
      <w:r w:rsidRPr="00D226C1">
        <w:rPr>
          <w:rFonts w:ascii="Times New Roman" w:hAnsi="Times New Roman" w:cs="Times New Roman"/>
          <w:sz w:val="24"/>
          <w:szCs w:val="24"/>
        </w:rPr>
        <w:t xml:space="preserve">. Because of the facts provided above, it is evident that </w:t>
      </w:r>
      <w:r w:rsidR="008B61FD" w:rsidRPr="00D226C1">
        <w:rPr>
          <w:rFonts w:ascii="Times New Roman" w:hAnsi="Times New Roman" w:cs="Times New Roman"/>
          <w:sz w:val="24"/>
          <w:szCs w:val="24"/>
        </w:rPr>
        <w:t>Alabama</w:t>
      </w:r>
      <w:r w:rsidRPr="00D226C1">
        <w:rPr>
          <w:rFonts w:ascii="Times New Roman" w:hAnsi="Times New Roman" w:cs="Times New Roman"/>
          <w:sz w:val="24"/>
          <w:szCs w:val="24"/>
        </w:rPr>
        <w:t xml:space="preserve"> Sports marketing is in a position to seek specific perf</w:t>
      </w:r>
      <w:r w:rsidRPr="00D226C1">
        <w:rPr>
          <w:rFonts w:ascii="Times New Roman" w:hAnsi="Times New Roman" w:cs="Times New Roman"/>
          <w:sz w:val="24"/>
          <w:szCs w:val="24"/>
        </w:rPr>
        <w:t>ormance of the given contract in the case.</w:t>
      </w:r>
      <w:r w:rsidR="00152F1D" w:rsidRPr="00D226C1">
        <w:rPr>
          <w:rFonts w:ascii="Times New Roman" w:hAnsi="Times New Roman" w:cs="Times New Roman"/>
          <w:sz w:val="24"/>
          <w:szCs w:val="24"/>
        </w:rPr>
        <w:t xml:space="preserve"> In simple terms, when Gump refuses to conduct any work after the disagreement with the developer is regarded a breach of the agreement with </w:t>
      </w:r>
      <w:r w:rsidR="008B61FD" w:rsidRPr="00D226C1">
        <w:rPr>
          <w:rFonts w:ascii="Times New Roman" w:hAnsi="Times New Roman" w:cs="Times New Roman"/>
          <w:sz w:val="24"/>
          <w:szCs w:val="24"/>
        </w:rPr>
        <w:t>Alabama</w:t>
      </w:r>
      <w:r w:rsidR="00152F1D" w:rsidRPr="00D226C1">
        <w:rPr>
          <w:rFonts w:ascii="Times New Roman" w:hAnsi="Times New Roman" w:cs="Times New Roman"/>
          <w:sz w:val="24"/>
          <w:szCs w:val="24"/>
        </w:rPr>
        <w:t xml:space="preserve"> Sports Marketing. </w:t>
      </w:r>
      <w:r w:rsidRPr="00D226C1">
        <w:rPr>
          <w:rFonts w:ascii="Times New Roman" w:hAnsi="Times New Roman" w:cs="Times New Roman"/>
          <w:sz w:val="24"/>
          <w:szCs w:val="24"/>
        </w:rPr>
        <w:t xml:space="preserve">  </w:t>
      </w:r>
      <w:r w:rsidR="001935E8" w:rsidRPr="00D226C1">
        <w:rPr>
          <w:rFonts w:ascii="Times New Roman" w:hAnsi="Times New Roman" w:cs="Times New Roman"/>
          <w:sz w:val="24"/>
          <w:szCs w:val="24"/>
        </w:rPr>
        <w:t xml:space="preserve"> </w:t>
      </w:r>
    </w:p>
    <w:p w14:paraId="30A44F6D" w14:textId="77777777" w:rsidR="00DA30AE" w:rsidRPr="00D226C1" w:rsidRDefault="00AC49C1" w:rsidP="00D226C1">
      <w:pPr>
        <w:spacing w:after="0" w:line="480" w:lineRule="auto"/>
        <w:jc w:val="center"/>
        <w:rPr>
          <w:rFonts w:ascii="Times New Roman" w:hAnsi="Times New Roman" w:cs="Times New Roman"/>
          <w:b/>
          <w:sz w:val="24"/>
          <w:szCs w:val="24"/>
        </w:rPr>
      </w:pPr>
      <w:r w:rsidRPr="00D226C1">
        <w:rPr>
          <w:rFonts w:ascii="Times New Roman" w:hAnsi="Times New Roman" w:cs="Times New Roman"/>
          <w:b/>
          <w:sz w:val="24"/>
          <w:szCs w:val="24"/>
        </w:rPr>
        <w:t>Question 2</w:t>
      </w:r>
    </w:p>
    <w:p w14:paraId="2A87E031" w14:textId="77777777" w:rsidR="00AE0BFA" w:rsidRPr="00D226C1" w:rsidRDefault="00AC49C1" w:rsidP="00D226C1">
      <w:pPr>
        <w:spacing w:after="0" w:line="480" w:lineRule="auto"/>
        <w:ind w:firstLine="720"/>
        <w:rPr>
          <w:rFonts w:ascii="Times New Roman" w:hAnsi="Times New Roman" w:cs="Times New Roman"/>
          <w:sz w:val="24"/>
          <w:szCs w:val="24"/>
        </w:rPr>
      </w:pPr>
      <w:r w:rsidRPr="00D226C1">
        <w:rPr>
          <w:rFonts w:ascii="Times New Roman" w:hAnsi="Times New Roman" w:cs="Times New Roman"/>
          <w:sz w:val="24"/>
          <w:szCs w:val="24"/>
        </w:rPr>
        <w:lastRenderedPageBreak/>
        <w:t>The liquidated damages clause is defined as a clause in an agreement that specifies the quantity of damages owed to a non-breaching party. Additionally, in some cases, the clause as mentioned earlier determines a certain quantity as well as others a formul</w:t>
      </w:r>
      <w:r w:rsidRPr="00D226C1">
        <w:rPr>
          <w:rFonts w:ascii="Times New Roman" w:hAnsi="Times New Roman" w:cs="Times New Roman"/>
          <w:sz w:val="24"/>
          <w:szCs w:val="24"/>
        </w:rPr>
        <w:t xml:space="preserve">a to identify the quantity owed in case a covenant is not fulfilled. </w:t>
      </w:r>
      <w:r w:rsidR="005A33E4" w:rsidRPr="00D226C1">
        <w:rPr>
          <w:rFonts w:ascii="Times New Roman" w:hAnsi="Times New Roman" w:cs="Times New Roman"/>
          <w:sz w:val="24"/>
          <w:szCs w:val="24"/>
        </w:rPr>
        <w:t>In fact</w:t>
      </w:r>
      <w:r w:rsidRPr="00D226C1">
        <w:rPr>
          <w:rFonts w:ascii="Times New Roman" w:hAnsi="Times New Roman" w:cs="Times New Roman"/>
          <w:sz w:val="24"/>
          <w:szCs w:val="24"/>
        </w:rPr>
        <w:t>, a clause of this kind is meant to be a vital way to restrict risk</w:t>
      </w:r>
      <w:r w:rsidR="00EF73E1" w:rsidRPr="00D226C1">
        <w:rPr>
          <w:rFonts w:ascii="Times New Roman" w:hAnsi="Times New Roman" w:cs="Times New Roman"/>
          <w:sz w:val="24"/>
          <w:szCs w:val="24"/>
        </w:rPr>
        <w:t>; however, not always implementable</w:t>
      </w:r>
      <w:r w:rsidR="002A2DDF" w:rsidRPr="00D226C1">
        <w:rPr>
          <w:rFonts w:ascii="Times New Roman" w:hAnsi="Times New Roman" w:cs="Times New Roman"/>
          <w:sz w:val="24"/>
          <w:szCs w:val="24"/>
        </w:rPr>
        <w:t xml:space="preserve"> (Kubasek et al., 2016)</w:t>
      </w:r>
      <w:r w:rsidRPr="00D226C1">
        <w:rPr>
          <w:rFonts w:ascii="Times New Roman" w:hAnsi="Times New Roman" w:cs="Times New Roman"/>
          <w:sz w:val="24"/>
          <w:szCs w:val="24"/>
        </w:rPr>
        <w:t>.</w:t>
      </w:r>
      <w:r w:rsidR="00E812B7" w:rsidRPr="00D226C1">
        <w:rPr>
          <w:rFonts w:ascii="Times New Roman" w:hAnsi="Times New Roman" w:cs="Times New Roman"/>
          <w:sz w:val="24"/>
          <w:szCs w:val="24"/>
        </w:rPr>
        <w:t xml:space="preserve"> It is important to comprehend that different courts implement such clauses because they tend to bear a reasonable correlation to what the actual cost will be. Nevertheless, it is noteworthy that the courts do not implement the aforementioned clause in case they determine the amount to be exaggerated as well as not met reasonable cost that are connected to the project. In the provided case, it is clear that the liquidated clause is valid. What is more, the clause was in place before a breach took place.  </w:t>
      </w:r>
      <w:r w:rsidR="005A33E4" w:rsidRPr="00D226C1">
        <w:rPr>
          <w:rFonts w:ascii="Times New Roman" w:hAnsi="Times New Roman" w:cs="Times New Roman"/>
          <w:sz w:val="24"/>
          <w:szCs w:val="24"/>
        </w:rPr>
        <w:t xml:space="preserve"> </w:t>
      </w:r>
    </w:p>
    <w:p w14:paraId="6396FF7F" w14:textId="0A2C11B7" w:rsidR="00F4644E" w:rsidRPr="00D226C1" w:rsidRDefault="00AC49C1" w:rsidP="005E4711">
      <w:pPr>
        <w:spacing w:after="0" w:line="480" w:lineRule="auto"/>
        <w:ind w:firstLine="720"/>
        <w:rPr>
          <w:rFonts w:ascii="Times New Roman" w:hAnsi="Times New Roman" w:cs="Times New Roman"/>
          <w:sz w:val="24"/>
          <w:szCs w:val="24"/>
        </w:rPr>
      </w:pPr>
      <w:r w:rsidRPr="00D226C1">
        <w:rPr>
          <w:rFonts w:ascii="Times New Roman" w:hAnsi="Times New Roman" w:cs="Times New Roman"/>
          <w:sz w:val="24"/>
          <w:szCs w:val="24"/>
        </w:rPr>
        <w:t xml:space="preserve">Notably, the amount </w:t>
      </w:r>
      <w:r w:rsidRPr="00D226C1">
        <w:rPr>
          <w:rFonts w:ascii="Times New Roman" w:hAnsi="Times New Roman" w:cs="Times New Roman"/>
          <w:sz w:val="24"/>
          <w:szCs w:val="24"/>
        </w:rPr>
        <w:t>expressed within the clause is considered a reasonable cost that because it covers the video game expenses. However, the amount is insufficient in finding out the possible profit that could have been realized in case it was breached.</w:t>
      </w:r>
      <w:r w:rsidR="00E268ED" w:rsidRPr="00D226C1">
        <w:rPr>
          <w:rFonts w:ascii="Times New Roman" w:hAnsi="Times New Roman" w:cs="Times New Roman"/>
          <w:sz w:val="24"/>
          <w:szCs w:val="24"/>
        </w:rPr>
        <w:t xml:space="preserve"> </w:t>
      </w:r>
      <w:r w:rsidR="005A21B8" w:rsidRPr="00D226C1">
        <w:rPr>
          <w:rFonts w:ascii="Times New Roman" w:hAnsi="Times New Roman" w:cs="Times New Roman"/>
          <w:sz w:val="24"/>
          <w:szCs w:val="24"/>
        </w:rPr>
        <w:t xml:space="preserve">It is unlikely for Alabama Sports marketing to understand whether the video game is a successful seller. </w:t>
      </w:r>
      <w:r w:rsidR="00AC5A7D" w:rsidRPr="00D226C1">
        <w:rPr>
          <w:rFonts w:ascii="Times New Roman" w:hAnsi="Times New Roman" w:cs="Times New Roman"/>
          <w:sz w:val="24"/>
          <w:szCs w:val="24"/>
        </w:rPr>
        <w:t>In particular, a liquidated clause states a fixed amount of financial resources that the breaching individual has to settle because he or she has failed to conduct under the contract. However, the courts can find out that the aforementioned amount is likely to be a punishment or penalty and would not make it implementable.</w:t>
      </w:r>
    </w:p>
    <w:p w14:paraId="6F2E1671" w14:textId="77777777" w:rsidR="005E4711" w:rsidRDefault="00AC49C1" w:rsidP="00D226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2D4A08D" w14:textId="11DD3B06" w:rsidR="00EC5FDD" w:rsidRPr="00D226C1" w:rsidRDefault="00AC49C1" w:rsidP="00D226C1">
      <w:pPr>
        <w:spacing w:after="0" w:line="480" w:lineRule="auto"/>
        <w:jc w:val="center"/>
        <w:rPr>
          <w:rFonts w:ascii="Times New Roman" w:hAnsi="Times New Roman" w:cs="Times New Roman"/>
          <w:sz w:val="24"/>
          <w:szCs w:val="24"/>
        </w:rPr>
      </w:pPr>
      <w:r w:rsidRPr="00D226C1">
        <w:rPr>
          <w:rFonts w:ascii="Times New Roman" w:hAnsi="Times New Roman" w:cs="Times New Roman"/>
          <w:sz w:val="24"/>
          <w:szCs w:val="24"/>
        </w:rPr>
        <w:lastRenderedPageBreak/>
        <w:t>References</w:t>
      </w:r>
    </w:p>
    <w:p w14:paraId="22200CE7" w14:textId="77777777" w:rsidR="00447A45" w:rsidRPr="00D226C1" w:rsidRDefault="00AC49C1" w:rsidP="00D226C1">
      <w:pPr>
        <w:spacing w:after="0" w:line="480" w:lineRule="auto"/>
        <w:ind w:left="720" w:hanging="720"/>
        <w:rPr>
          <w:rFonts w:ascii="Times New Roman" w:hAnsi="Times New Roman" w:cs="Times New Roman"/>
          <w:sz w:val="24"/>
          <w:szCs w:val="24"/>
        </w:rPr>
      </w:pPr>
      <w:r w:rsidRPr="00D226C1">
        <w:rPr>
          <w:rFonts w:ascii="Times New Roman" w:hAnsi="Times New Roman" w:cs="Times New Roman"/>
          <w:sz w:val="24"/>
          <w:szCs w:val="24"/>
        </w:rPr>
        <w:t>Ashok, K. M. (2018). Plaintiff cannot seek specific performance and injunction in one</w:t>
      </w:r>
      <w:r w:rsidRPr="00D226C1">
        <w:rPr>
          <w:rFonts w:ascii="Times New Roman" w:hAnsi="Times New Roman" w:cs="Times New Roman"/>
          <w:sz w:val="24"/>
          <w:szCs w:val="24"/>
        </w:rPr>
        <w:t xml:space="preserve"> suit. </w:t>
      </w:r>
      <w:r w:rsidRPr="00D226C1">
        <w:rPr>
          <w:rFonts w:ascii="Times New Roman" w:hAnsi="Times New Roman" w:cs="Times New Roman"/>
          <w:i/>
          <w:sz w:val="24"/>
          <w:szCs w:val="24"/>
        </w:rPr>
        <w:t>Live Law</w:t>
      </w:r>
      <w:r w:rsidRPr="00D226C1">
        <w:rPr>
          <w:rFonts w:ascii="Times New Roman" w:hAnsi="Times New Roman" w:cs="Times New Roman"/>
          <w:sz w:val="24"/>
          <w:szCs w:val="24"/>
        </w:rPr>
        <w:t xml:space="preserve">. Retrieved from </w:t>
      </w:r>
      <w:hyperlink r:id="rId6" w:history="1">
        <w:r w:rsidRPr="00D226C1">
          <w:rPr>
            <w:rStyle w:val="Hyperlink"/>
            <w:rFonts w:ascii="Times New Roman" w:hAnsi="Times New Roman" w:cs="Times New Roman"/>
            <w:color w:val="auto"/>
            <w:sz w:val="24"/>
            <w:szCs w:val="24"/>
          </w:rPr>
          <w:t>https://www.livelaw.in/plaintiff-cant-seek-specific-performance-injunction-one-suit-sc-read-judgment/</w:t>
        </w:r>
      </w:hyperlink>
      <w:r w:rsidRPr="00D226C1">
        <w:rPr>
          <w:rFonts w:ascii="Times New Roman" w:hAnsi="Times New Roman" w:cs="Times New Roman"/>
          <w:sz w:val="24"/>
          <w:szCs w:val="24"/>
        </w:rPr>
        <w:t xml:space="preserve">  </w:t>
      </w:r>
    </w:p>
    <w:p w14:paraId="6BF86F19" w14:textId="1F3ABF10" w:rsidR="00C65F65" w:rsidRPr="00D226C1" w:rsidRDefault="00AC49C1" w:rsidP="005E4711">
      <w:pPr>
        <w:spacing w:after="0" w:line="480" w:lineRule="auto"/>
        <w:ind w:left="720" w:hanging="720"/>
        <w:rPr>
          <w:rFonts w:ascii="Times New Roman" w:hAnsi="Times New Roman" w:cs="Times New Roman"/>
          <w:sz w:val="24"/>
          <w:szCs w:val="24"/>
        </w:rPr>
      </w:pPr>
      <w:r w:rsidRPr="00D226C1">
        <w:rPr>
          <w:rFonts w:ascii="Times New Roman" w:hAnsi="Times New Roman" w:cs="Times New Roman"/>
          <w:sz w:val="24"/>
          <w:szCs w:val="24"/>
        </w:rPr>
        <w:t>Kubasek et al. (2016). Dynamic business law: The essentials (3</w:t>
      </w:r>
      <w:r w:rsidRPr="00D226C1">
        <w:rPr>
          <w:rFonts w:ascii="Times New Roman" w:hAnsi="Times New Roman" w:cs="Times New Roman"/>
          <w:sz w:val="24"/>
          <w:szCs w:val="24"/>
          <w:vertAlign w:val="superscript"/>
        </w:rPr>
        <w:t>rd</w:t>
      </w:r>
      <w:r w:rsidRPr="00D226C1">
        <w:rPr>
          <w:rFonts w:ascii="Times New Roman" w:hAnsi="Times New Roman" w:cs="Times New Roman"/>
          <w:sz w:val="24"/>
          <w:szCs w:val="24"/>
        </w:rPr>
        <w:t xml:space="preserve"> ed.). New York, NY: McGraw-Hill Education.</w:t>
      </w:r>
    </w:p>
    <w:sectPr w:rsidR="00C65F65" w:rsidRPr="00D226C1" w:rsidSect="00D226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69656" w14:textId="77777777" w:rsidR="00AC49C1" w:rsidRDefault="00AC49C1">
      <w:pPr>
        <w:spacing w:after="0" w:line="240" w:lineRule="auto"/>
      </w:pPr>
      <w:r>
        <w:separator/>
      </w:r>
    </w:p>
  </w:endnote>
  <w:endnote w:type="continuationSeparator" w:id="0">
    <w:p w14:paraId="4C51D220" w14:textId="77777777" w:rsidR="00AC49C1" w:rsidRDefault="00AC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FFEC6" w14:textId="77777777" w:rsidR="00AC49C1" w:rsidRDefault="00AC49C1">
      <w:pPr>
        <w:spacing w:after="0" w:line="240" w:lineRule="auto"/>
      </w:pPr>
      <w:r>
        <w:separator/>
      </w:r>
    </w:p>
  </w:footnote>
  <w:footnote w:type="continuationSeparator" w:id="0">
    <w:p w14:paraId="057C1B6A" w14:textId="77777777" w:rsidR="00AC49C1" w:rsidRDefault="00AC4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076D7" w14:textId="77777777" w:rsidR="00D226C1" w:rsidRPr="00D226C1" w:rsidRDefault="00AC49C1" w:rsidP="00D226C1">
    <w:pPr>
      <w:pStyle w:val="Header"/>
      <w:rPr>
        <w:rFonts w:ascii="Times New Roman" w:hAnsi="Times New Roman" w:cs="Times New Roman"/>
        <w:sz w:val="24"/>
        <w:szCs w:val="24"/>
      </w:rPr>
    </w:pPr>
    <w:r w:rsidRPr="00D226C1">
      <w:rPr>
        <w:rFonts w:ascii="Times New Roman" w:hAnsi="Times New Roman" w:cs="Times New Roman"/>
        <w:sz w:val="24"/>
        <w:szCs w:val="24"/>
      </w:rPr>
      <w:t xml:space="preserve">CASE ANALYSIS </w:t>
    </w:r>
    <w:sdt>
      <w:sdtPr>
        <w:rPr>
          <w:rFonts w:ascii="Times New Roman" w:hAnsi="Times New Roman" w:cs="Times New Roman"/>
          <w:sz w:val="24"/>
          <w:szCs w:val="24"/>
        </w:rPr>
        <w:id w:val="108349316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226C1">
          <w:rPr>
            <w:rFonts w:ascii="Times New Roman" w:hAnsi="Times New Roman" w:cs="Times New Roman"/>
            <w:sz w:val="24"/>
            <w:szCs w:val="24"/>
          </w:rPr>
          <w:fldChar w:fldCharType="begin"/>
        </w:r>
        <w:r w:rsidRPr="00D226C1">
          <w:rPr>
            <w:rFonts w:ascii="Times New Roman" w:hAnsi="Times New Roman" w:cs="Times New Roman"/>
            <w:sz w:val="24"/>
            <w:szCs w:val="24"/>
          </w:rPr>
          <w:instrText xml:space="preserve"> PAGE   \* MERGEFORMAT </w:instrText>
        </w:r>
        <w:r w:rsidRPr="00D226C1">
          <w:rPr>
            <w:rFonts w:ascii="Times New Roman" w:hAnsi="Times New Roman" w:cs="Times New Roman"/>
            <w:sz w:val="24"/>
            <w:szCs w:val="24"/>
          </w:rPr>
          <w:fldChar w:fldCharType="separate"/>
        </w:r>
        <w:r w:rsidR="00F4644E">
          <w:rPr>
            <w:rFonts w:ascii="Times New Roman" w:hAnsi="Times New Roman" w:cs="Times New Roman"/>
            <w:noProof/>
            <w:sz w:val="24"/>
            <w:szCs w:val="24"/>
          </w:rPr>
          <w:t>4</w:t>
        </w:r>
        <w:r w:rsidRPr="00D226C1">
          <w:rPr>
            <w:rFonts w:ascii="Times New Roman" w:hAnsi="Times New Roman" w:cs="Times New Roman"/>
            <w:noProof/>
            <w:sz w:val="24"/>
            <w:szCs w:val="24"/>
          </w:rPr>
          <w:fldChar w:fldCharType="end"/>
        </w:r>
      </w:sdtContent>
    </w:sdt>
  </w:p>
  <w:p w14:paraId="3F8BFB09" w14:textId="77777777" w:rsidR="00D226C1" w:rsidRDefault="00D22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CD3B4" w14:textId="77777777" w:rsidR="00D226C1" w:rsidRPr="00D226C1" w:rsidRDefault="00AC49C1" w:rsidP="00D226C1">
    <w:pPr>
      <w:pStyle w:val="Header"/>
      <w:rPr>
        <w:rFonts w:ascii="Times New Roman" w:hAnsi="Times New Roman" w:cs="Times New Roman"/>
        <w:sz w:val="24"/>
        <w:szCs w:val="24"/>
      </w:rPr>
    </w:pPr>
    <w:r w:rsidRPr="00D226C1">
      <w:rPr>
        <w:rFonts w:ascii="Times New Roman" w:hAnsi="Times New Roman" w:cs="Times New Roman"/>
        <w:sz w:val="24"/>
        <w:szCs w:val="24"/>
      </w:rPr>
      <w:t xml:space="preserve">Running head: CASE ANALYSIS </w:t>
    </w:r>
    <w:sdt>
      <w:sdtPr>
        <w:rPr>
          <w:rFonts w:ascii="Times New Roman" w:hAnsi="Times New Roman" w:cs="Times New Roman"/>
          <w:sz w:val="24"/>
          <w:szCs w:val="24"/>
        </w:rPr>
        <w:id w:val="13769775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226C1">
          <w:rPr>
            <w:rFonts w:ascii="Times New Roman" w:hAnsi="Times New Roman" w:cs="Times New Roman"/>
            <w:sz w:val="24"/>
            <w:szCs w:val="24"/>
          </w:rPr>
          <w:fldChar w:fldCharType="begin"/>
        </w:r>
        <w:r w:rsidRPr="00D226C1">
          <w:rPr>
            <w:rFonts w:ascii="Times New Roman" w:hAnsi="Times New Roman" w:cs="Times New Roman"/>
            <w:sz w:val="24"/>
            <w:szCs w:val="24"/>
          </w:rPr>
          <w:instrText xml:space="preserve"> PAGE   \* MERGEFORMAT </w:instrText>
        </w:r>
        <w:r w:rsidRPr="00D226C1">
          <w:rPr>
            <w:rFonts w:ascii="Times New Roman" w:hAnsi="Times New Roman" w:cs="Times New Roman"/>
            <w:sz w:val="24"/>
            <w:szCs w:val="24"/>
          </w:rPr>
          <w:fldChar w:fldCharType="separate"/>
        </w:r>
        <w:r w:rsidR="00F4644E">
          <w:rPr>
            <w:rFonts w:ascii="Times New Roman" w:hAnsi="Times New Roman" w:cs="Times New Roman"/>
            <w:noProof/>
            <w:sz w:val="24"/>
            <w:szCs w:val="24"/>
          </w:rPr>
          <w:t>1</w:t>
        </w:r>
        <w:r w:rsidRPr="00D226C1">
          <w:rPr>
            <w:rFonts w:ascii="Times New Roman" w:hAnsi="Times New Roman" w:cs="Times New Roman"/>
            <w:noProof/>
            <w:sz w:val="24"/>
            <w:szCs w:val="24"/>
          </w:rPr>
          <w:fldChar w:fldCharType="end"/>
        </w:r>
      </w:sdtContent>
    </w:sdt>
  </w:p>
  <w:p w14:paraId="6BF25969" w14:textId="77777777" w:rsidR="00D226C1" w:rsidRDefault="00D22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2F0"/>
    <w:rsid w:val="000867ED"/>
    <w:rsid w:val="00152F1D"/>
    <w:rsid w:val="00187AA7"/>
    <w:rsid w:val="001935E8"/>
    <w:rsid w:val="002A2DDF"/>
    <w:rsid w:val="002D7EA0"/>
    <w:rsid w:val="003E7BA0"/>
    <w:rsid w:val="003F7E20"/>
    <w:rsid w:val="00447A45"/>
    <w:rsid w:val="00530F1A"/>
    <w:rsid w:val="00570B56"/>
    <w:rsid w:val="005A21B8"/>
    <w:rsid w:val="005A33E4"/>
    <w:rsid w:val="005E4711"/>
    <w:rsid w:val="008B61FD"/>
    <w:rsid w:val="009553FF"/>
    <w:rsid w:val="00AC49C1"/>
    <w:rsid w:val="00AC5A7D"/>
    <w:rsid w:val="00AC72F0"/>
    <w:rsid w:val="00AE0BFA"/>
    <w:rsid w:val="00AF30C8"/>
    <w:rsid w:val="00B6535B"/>
    <w:rsid w:val="00B72EDC"/>
    <w:rsid w:val="00C133BA"/>
    <w:rsid w:val="00C57015"/>
    <w:rsid w:val="00C65F65"/>
    <w:rsid w:val="00D226C1"/>
    <w:rsid w:val="00D41FD0"/>
    <w:rsid w:val="00D63DFB"/>
    <w:rsid w:val="00D87CFA"/>
    <w:rsid w:val="00DA30AE"/>
    <w:rsid w:val="00E268ED"/>
    <w:rsid w:val="00E30EB4"/>
    <w:rsid w:val="00E812B7"/>
    <w:rsid w:val="00EC5FDD"/>
    <w:rsid w:val="00EF73E1"/>
    <w:rsid w:val="00F008DD"/>
    <w:rsid w:val="00F4644E"/>
    <w:rsid w:val="00FA4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23413-F11B-4350-B65D-53FC9E951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7A45"/>
    <w:rPr>
      <w:color w:val="0563C1" w:themeColor="hyperlink"/>
      <w:u w:val="single"/>
    </w:rPr>
  </w:style>
  <w:style w:type="paragraph" w:styleId="Header">
    <w:name w:val="header"/>
    <w:basedOn w:val="Normal"/>
    <w:link w:val="HeaderChar"/>
    <w:uiPriority w:val="99"/>
    <w:unhideWhenUsed/>
    <w:rsid w:val="00D22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6C1"/>
  </w:style>
  <w:style w:type="paragraph" w:styleId="Footer">
    <w:name w:val="footer"/>
    <w:basedOn w:val="Normal"/>
    <w:link w:val="FooterChar"/>
    <w:uiPriority w:val="99"/>
    <w:unhideWhenUsed/>
    <w:rsid w:val="00D22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6C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30E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E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velaw.in/plaintiff-cant-seek-specific-performance-injunction-one-suit-sc-read-judg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575</Words>
  <Characters>3280</Characters>
  <Application>Microsoft Office Word</Application>
  <DocSecurity>0</DocSecurity>
  <Lines>27</Lines>
  <Paragraphs>7</Paragraphs>
  <ScaleCrop>false</ScaleCrop>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61</cp:revision>
  <dcterms:created xsi:type="dcterms:W3CDTF">2018-09-19T22:10:00Z</dcterms:created>
  <dcterms:modified xsi:type="dcterms:W3CDTF">2018-09-20T08:32:00Z</dcterms:modified>
</cp:coreProperties>
</file>